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color w:val="000000"/>
          <w:sz w:val="20"/>
          <w:szCs w:val="20"/>
        </w:rPr>
      </w:pPr>
      <w:r>
        <w:rPr>
          <w:rFonts w:ascii="Arial" w:hAnsi="Arial"/>
          <w:color w:val="000000"/>
          <w:sz w:val="20"/>
          <w:szCs w:val="20"/>
        </w:rPr>
        <mc:AlternateContent>
          <mc:Choice Requires="wps">
            <w:drawing>
              <wp:anchor behindDoc="0" distT="0" distB="0" distL="0" distR="0" simplePos="0" locked="0" layoutInCell="1" allowOverlap="1" relativeHeight="2">
                <wp:simplePos x="0" y="0"/>
                <wp:positionH relativeFrom="page">
                  <wp:posOffset>3243580</wp:posOffset>
                </wp:positionH>
                <wp:positionV relativeFrom="page">
                  <wp:posOffset>918845</wp:posOffset>
                </wp:positionV>
                <wp:extent cx="3800475" cy="360680"/>
                <wp:effectExtent l="0" t="0" r="0" b="0"/>
                <wp:wrapNone/>
                <wp:docPr id="1" name="Destinataire"/>
                <a:graphic xmlns:a="http://schemas.openxmlformats.org/drawingml/2006/main">
                  <a:graphicData uri="http://schemas.microsoft.com/office/word/2010/wordprocessingShape">
                    <wps:wsp>
                      <wps:cNvSpPr/>
                      <wps:spPr>
                        <a:xfrm>
                          <a:off x="0" y="0"/>
                          <a:ext cx="3799800" cy="360000"/>
                        </a:xfrm>
                        <a:prstGeom prst="rect">
                          <a:avLst/>
                        </a:prstGeom>
                        <a:noFill/>
                        <a:ln>
                          <a:noFill/>
                        </a:ln>
                      </wps:spPr>
                      <wps:style>
                        <a:lnRef idx="0"/>
                        <a:fillRef idx="0"/>
                        <a:effectRef idx="0"/>
                        <a:fontRef idx="minor"/>
                      </wps:style>
                      <wps:txbx>
                        <w:txbxContent>
                          <w:p>
                            <w:pPr>
                              <w:pStyle w:val="Destinataire"/>
                              <w:bidi w:val="0"/>
                              <w:spacing w:before="0" w:after="0"/>
                              <w:ind w:left="0" w:right="0" w:hanging="0"/>
                              <w:jc w:val="right"/>
                              <w:rPr>
                                <w:rFonts w:ascii="SanukOT-Bold" w:hAnsi="SanukOT-Bold"/>
                                <w:b/>
                                <w:b/>
                                <w:caps/>
                                <w:sz w:val="36"/>
                                <w:szCs w:val="36"/>
                                <w:lang w:val="zxx"/>
                              </w:rPr>
                            </w:pPr>
                            <w:r>
                              <w:rPr>
                                <w:rFonts w:ascii="SanukOT-Bold" w:hAnsi="SanukOT-Bold"/>
                                <w:b/>
                                <w:caps/>
                                <w:color w:val="000000"/>
                                <w:sz w:val="36"/>
                                <w:szCs w:val="36"/>
                                <w:lang w:val="zxx"/>
                              </w:rPr>
                              <w:t>COMMUNIQUÉ DE PRESSE</w:t>
                            </w:r>
                          </w:p>
                        </w:txbxContent>
                      </wps:txbx>
                      <wps:bodyPr lIns="0" rIns="0" tIns="0" bIns="0">
                        <a:noAutofit/>
                      </wps:bodyPr>
                    </wps:wsp>
                  </a:graphicData>
                </a:graphic>
              </wp:anchor>
            </w:drawing>
          </mc:Choice>
          <mc:Fallback>
            <w:pict>
              <v:rect id="shape_0" ID="Destinataire" stroked="f" style="position:absolute;margin-left:255.4pt;margin-top:72.35pt;width:299.15pt;height:28.3pt;mso-position-horizontal-relative:page;mso-position-vertical-relative:page">
                <w10:wrap type="square"/>
                <v:fill o:detectmouseclick="t" on="false"/>
                <v:stroke color="#3465a4" joinstyle="round" endcap="flat"/>
                <v:textbox>
                  <w:txbxContent>
                    <w:p>
                      <w:pPr>
                        <w:pStyle w:val="Destinataire"/>
                        <w:bidi w:val="0"/>
                        <w:spacing w:before="0" w:after="0"/>
                        <w:ind w:left="0" w:right="0" w:hanging="0"/>
                        <w:jc w:val="right"/>
                        <w:rPr>
                          <w:rFonts w:ascii="SanukOT-Bold" w:hAnsi="SanukOT-Bold"/>
                          <w:b/>
                          <w:b/>
                          <w:caps/>
                          <w:sz w:val="36"/>
                          <w:szCs w:val="36"/>
                          <w:lang w:val="zxx"/>
                        </w:rPr>
                      </w:pPr>
                      <w:r>
                        <w:rPr>
                          <w:rFonts w:ascii="SanukOT-Bold" w:hAnsi="SanukOT-Bold"/>
                          <w:b/>
                          <w:caps/>
                          <w:color w:val="000000"/>
                          <w:sz w:val="36"/>
                          <w:szCs w:val="36"/>
                          <w:lang w:val="zxx"/>
                        </w:rPr>
                        <w:t>COMMUNIQUÉ DE PRESSE</w:t>
                      </w:r>
                    </w:p>
                  </w:txbxContent>
                </v:textbox>
              </v:rect>
            </w:pict>
          </mc:Fallback>
        </mc:AlternateContent>
        <w:drawing>
          <wp:anchor behindDoc="0" distT="0" distB="0" distL="0" distR="0" simplePos="0" locked="0" layoutInCell="1" allowOverlap="1" relativeHeight="5">
            <wp:simplePos x="0" y="0"/>
            <wp:positionH relativeFrom="column">
              <wp:posOffset>-576580</wp:posOffset>
            </wp:positionH>
            <wp:positionV relativeFrom="paragraph">
              <wp:posOffset>-101600</wp:posOffset>
            </wp:positionV>
            <wp:extent cx="2162810" cy="1049655"/>
            <wp:effectExtent l="0" t="0" r="0" b="0"/>
            <wp:wrapSquare wrapText="largest"/>
            <wp:docPr id="3"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1" descr=""/>
                    <pic:cNvPicPr>
                      <a:picLocks noChangeAspect="1" noChangeArrowheads="1"/>
                    </pic:cNvPicPr>
                  </pic:nvPicPr>
                  <pic:blipFill>
                    <a:blip r:embed="rId2"/>
                    <a:stretch>
                      <a:fillRect/>
                    </a:stretch>
                  </pic:blipFill>
                  <pic:spPr bwMode="auto">
                    <a:xfrm>
                      <a:off x="0" y="0"/>
                      <a:ext cx="2162810" cy="1049655"/>
                    </a:xfrm>
                    <a:prstGeom prst="rect">
                      <a:avLst/>
                    </a:prstGeom>
                  </pic:spPr>
                </pic:pic>
              </a:graphicData>
            </a:graphic>
          </wp:anchor>
        </w:drawing>
      </w:r>
    </w:p>
    <w:p>
      <w:pPr>
        <w:pStyle w:val="Normal"/>
        <w:bidi w:val="0"/>
        <w:jc w:val="left"/>
        <w:rPr>
          <w:rFonts w:ascii="Arial" w:hAnsi="Arial"/>
          <w:color w:val="000000"/>
          <w:sz w:val="20"/>
          <w:szCs w:val="20"/>
        </w:rPr>
      </w:pPr>
      <w:r>
        <w:rPr>
          <w:rFonts w:ascii="Arial" w:hAnsi="Arial"/>
          <w:color w:val="000000"/>
          <w:sz w:val="20"/>
          <w:szCs w:val="20"/>
        </w:rPr>
      </w:r>
    </w:p>
    <w:p>
      <w:pPr>
        <w:pStyle w:val="Normal"/>
        <w:bidi w:val="0"/>
        <w:jc w:val="left"/>
        <w:rPr>
          <w:rFonts w:ascii="Arial" w:hAnsi="Arial"/>
          <w:color w:val="000000"/>
          <w:sz w:val="20"/>
          <w:szCs w:val="20"/>
        </w:rPr>
      </w:pPr>
      <w:r>
        <w:rPr>
          <w:rFonts w:ascii="Arial" w:hAnsi="Arial"/>
          <w:color w:val="000000"/>
          <w:sz w:val="20"/>
          <w:szCs w:val="20"/>
        </w:rPr>
      </w:r>
    </w:p>
    <w:p>
      <w:pPr>
        <w:pStyle w:val="Normal"/>
        <w:bidi w:val="0"/>
        <w:jc w:val="left"/>
        <w:rPr>
          <w:rFonts w:ascii="Arial" w:hAnsi="Arial"/>
          <w:color w:val="000000"/>
          <w:sz w:val="20"/>
          <w:szCs w:val="20"/>
        </w:rPr>
      </w:pPr>
      <w:r>
        <w:rPr>
          <w:rFonts w:ascii="Arial" w:hAnsi="Arial"/>
          <w:color w:val="000000"/>
          <w:sz w:val="20"/>
          <w:szCs w:val="20"/>
        </w:rPr>
        <mc:AlternateContent>
          <mc:Choice Requires="wps">
            <w:drawing>
              <wp:anchor behindDoc="0" distT="0" distB="0" distL="0" distR="0" simplePos="0" locked="0" layoutInCell="1" allowOverlap="1" relativeHeight="3">
                <wp:simplePos x="0" y="0"/>
                <wp:positionH relativeFrom="column">
                  <wp:posOffset>2570480</wp:posOffset>
                </wp:positionH>
                <wp:positionV relativeFrom="paragraph">
                  <wp:posOffset>118745</wp:posOffset>
                </wp:positionV>
                <wp:extent cx="1813560" cy="281940"/>
                <wp:effectExtent l="0" t="0" r="0" b="0"/>
                <wp:wrapSquare wrapText="bothSides"/>
                <wp:docPr id="4" name="date"/>
                <a:graphic xmlns:a="http://schemas.openxmlformats.org/drawingml/2006/main">
                  <a:graphicData uri="http://schemas.microsoft.com/office/word/2010/wordprocessingShape">
                    <wps:wsp>
                      <wps:cNvSpPr/>
                      <wps:spPr>
                        <a:xfrm>
                          <a:off x="0" y="0"/>
                          <a:ext cx="1812960" cy="281160"/>
                        </a:xfrm>
                        <a:prstGeom prst="rect">
                          <a:avLst/>
                        </a:prstGeom>
                        <a:noFill/>
                        <a:ln>
                          <a:noFill/>
                        </a:ln>
                      </wps:spPr>
                      <wps:style>
                        <a:lnRef idx="0"/>
                        <a:fillRef idx="0"/>
                        <a:effectRef idx="0"/>
                        <a:fontRef idx="minor"/>
                      </wps:style>
                      <wps:txbx>
                        <w:txbxContent>
                          <w:p>
                            <w:pPr>
                              <w:pStyle w:val="Contenudecadre"/>
                              <w:bidi w:val="0"/>
                              <w:spacing w:before="0" w:after="140"/>
                              <w:jc w:val="right"/>
                              <w:rPr>
                                <w:color w:val="000000"/>
                              </w:rPr>
                            </w:pPr>
                            <w:r>
                              <w:rPr>
                                <w:rFonts w:ascii="SanukOT-Regular" w:hAnsi="SanukOT-Regular"/>
                                <w:color w:val="000000"/>
                                <w:sz w:val="24"/>
                                <w:szCs w:val="24"/>
                              </w:rPr>
                              <w:t>1</w:t>
                            </w:r>
                            <w:r>
                              <w:rPr>
                                <w:rFonts w:eastAsia="Droid Sans Fallback" w:cs="FreeSans" w:ascii="SanukOT-Regular" w:hAnsi="SanukOT-Regular"/>
                                <w:color w:val="000000"/>
                                <w:kern w:val="2"/>
                                <w:sz w:val="24"/>
                                <w:szCs w:val="24"/>
                                <w:lang w:val="fr-CH" w:eastAsia="zh-CN" w:bidi="hi-IN"/>
                              </w:rPr>
                              <w:t>4</w:t>
                            </w:r>
                            <w:r>
                              <w:rPr>
                                <w:rFonts w:ascii="SanukOT-Regular" w:hAnsi="SanukOT-Regular"/>
                                <w:color w:val="000000"/>
                                <w:sz w:val="24"/>
                                <w:szCs w:val="24"/>
                              </w:rPr>
                              <w:t xml:space="preserve"> février 2025</w:t>
                            </w:r>
                          </w:p>
                        </w:txbxContent>
                      </wps:txbx>
                      <wps:bodyPr lIns="0" rIns="0" tIns="0" bIns="0">
                        <a:noAutofit/>
                      </wps:bodyPr>
                    </wps:wsp>
                  </a:graphicData>
                </a:graphic>
              </wp:anchor>
            </w:drawing>
          </mc:Choice>
          <mc:Fallback>
            <w:pict>
              <v:rect id="shape_0" ID="date" stroked="f" style="position:absolute;margin-left:202.4pt;margin-top:9.35pt;width:142.7pt;height:22.1pt">
                <w10:wrap type="square"/>
                <v:fill o:detectmouseclick="t" on="false"/>
                <v:stroke color="#3465a4" joinstyle="round" endcap="flat"/>
                <v:textbox>
                  <w:txbxContent>
                    <w:p>
                      <w:pPr>
                        <w:pStyle w:val="Contenudecadre"/>
                        <w:bidi w:val="0"/>
                        <w:spacing w:before="0" w:after="140"/>
                        <w:jc w:val="right"/>
                        <w:rPr>
                          <w:color w:val="000000"/>
                        </w:rPr>
                      </w:pPr>
                      <w:r>
                        <w:rPr>
                          <w:rFonts w:ascii="SanukOT-Regular" w:hAnsi="SanukOT-Regular"/>
                          <w:color w:val="000000"/>
                          <w:sz w:val="24"/>
                          <w:szCs w:val="24"/>
                        </w:rPr>
                        <w:t>1</w:t>
                      </w:r>
                      <w:r>
                        <w:rPr>
                          <w:rFonts w:eastAsia="Droid Sans Fallback" w:cs="FreeSans" w:ascii="SanukOT-Regular" w:hAnsi="SanukOT-Regular"/>
                          <w:color w:val="000000"/>
                          <w:kern w:val="2"/>
                          <w:sz w:val="24"/>
                          <w:szCs w:val="24"/>
                          <w:lang w:val="fr-CH" w:eastAsia="zh-CN" w:bidi="hi-IN"/>
                        </w:rPr>
                        <w:t>4</w:t>
                      </w:r>
                      <w:r>
                        <w:rPr>
                          <w:rFonts w:ascii="SanukOT-Regular" w:hAnsi="SanukOT-Regular"/>
                          <w:color w:val="000000"/>
                          <w:sz w:val="24"/>
                          <w:szCs w:val="24"/>
                        </w:rPr>
                        <w:t xml:space="preserve"> février 2025</w:t>
                      </w:r>
                    </w:p>
                  </w:txbxContent>
                </v:textbox>
              </v:rect>
            </w:pict>
          </mc:Fallback>
        </mc:AlternateContent>
      </w:r>
    </w:p>
    <w:p>
      <w:pPr>
        <w:pStyle w:val="Normal"/>
        <w:bidi w:val="0"/>
        <w:jc w:val="left"/>
        <w:rPr>
          <w:rFonts w:ascii="Arial" w:hAnsi="Arial"/>
          <w:color w:val="000000"/>
          <w:sz w:val="20"/>
          <w:szCs w:val="20"/>
        </w:rPr>
      </w:pPr>
      <w:r>
        <w:rPr>
          <w:rFonts w:ascii="Arial" w:hAnsi="Arial"/>
          <w:color w:val="000000"/>
          <w:sz w:val="20"/>
          <w:szCs w:val="20"/>
        </w:rPr>
      </w:r>
    </w:p>
    <w:p>
      <w:pPr>
        <w:pStyle w:val="Normal"/>
        <w:bidi w:val="0"/>
        <w:jc w:val="left"/>
        <w:rPr>
          <w:rFonts w:ascii="Arial" w:hAnsi="Arial"/>
          <w:color w:val="000000"/>
          <w:sz w:val="20"/>
          <w:szCs w:val="20"/>
        </w:rPr>
      </w:pPr>
      <w:r>
        <w:rPr>
          <w:rFonts w:ascii="Arial" w:hAnsi="Arial"/>
          <w:color w:val="000000"/>
          <w:sz w:val="20"/>
          <w:szCs w:val="20"/>
        </w:rPr>
      </w:r>
    </w:p>
    <w:p>
      <w:pPr>
        <w:pStyle w:val="Normal"/>
        <w:bidi w:val="0"/>
        <w:jc w:val="left"/>
        <w:rPr>
          <w:rFonts w:ascii="Arial" w:hAnsi="Arial"/>
          <w:color w:val="000000"/>
          <w:sz w:val="20"/>
          <w:szCs w:val="20"/>
        </w:rPr>
      </w:pPr>
      <w:r>
        <w:rPr>
          <w:rFonts w:ascii="Arial" w:hAnsi="Arial"/>
          <w:color w:val="000000"/>
          <w:sz w:val="20"/>
          <w:szCs w:val="20"/>
        </w:rPr>
      </w:r>
    </w:p>
    <w:p>
      <w:pPr>
        <w:pStyle w:val="Normal"/>
        <w:bidi w:val="0"/>
        <w:jc w:val="left"/>
        <w:rPr>
          <w:rFonts w:ascii="Arial" w:hAnsi="Arial"/>
          <w:color w:val="000000"/>
          <w:sz w:val="20"/>
          <w:szCs w:val="20"/>
        </w:rPr>
      </w:pPr>
      <w:r>
        <w:rPr>
          <w:rFonts w:ascii="Arial" w:hAnsi="Arial"/>
          <w:color w:val="000000"/>
          <w:sz w:val="20"/>
          <w:szCs w:val="20"/>
        </w:rPr>
      </w:r>
    </w:p>
    <w:p>
      <w:pPr>
        <w:pStyle w:val="Normal"/>
        <w:bidi w:val="0"/>
        <w:jc w:val="left"/>
        <w:rPr>
          <w:rFonts w:ascii="Arial" w:hAnsi="Arial"/>
          <w:color w:val="000000"/>
          <w:sz w:val="20"/>
          <w:szCs w:val="20"/>
        </w:rPr>
      </w:pPr>
      <w:r>
        <w:rPr>
          <w:rFonts w:ascii="Arial" w:hAnsi="Arial"/>
          <w:color w:val="000000"/>
          <w:sz w:val="20"/>
          <w:szCs w:val="20"/>
        </w:rPr>
        <mc:AlternateContent>
          <mc:Choice Requires="wps">
            <w:drawing>
              <wp:anchor behindDoc="0" distT="0" distB="0" distL="0" distR="0" simplePos="0" locked="0" layoutInCell="1" allowOverlap="1" relativeHeight="4">
                <wp:simplePos x="0" y="0"/>
                <wp:positionH relativeFrom="column">
                  <wp:posOffset>0</wp:posOffset>
                </wp:positionH>
                <wp:positionV relativeFrom="paragraph">
                  <wp:posOffset>361315</wp:posOffset>
                </wp:positionV>
                <wp:extent cx="5975350" cy="290830"/>
                <wp:effectExtent l="0" t="0" r="0" b="0"/>
                <wp:wrapSquare wrapText="bothSides"/>
                <wp:docPr id="6" name="Cadre2"/>
                <a:graphic xmlns:a="http://schemas.openxmlformats.org/drawingml/2006/main">
                  <a:graphicData uri="http://schemas.microsoft.com/office/word/2010/wordprocessingShape">
                    <wps:wsp>
                      <wps:cNvSpPr/>
                      <wps:spPr>
                        <a:xfrm>
                          <a:off x="0" y="0"/>
                          <a:ext cx="5974560" cy="290160"/>
                        </a:xfrm>
                        <a:prstGeom prst="rect">
                          <a:avLst/>
                        </a:prstGeom>
                        <a:noFill/>
                        <a:ln>
                          <a:noFill/>
                        </a:ln>
                      </wps:spPr>
                      <wps:style>
                        <a:lnRef idx="0"/>
                        <a:fillRef idx="0"/>
                        <a:effectRef idx="0"/>
                        <a:fontRef idx="minor"/>
                      </wps:style>
                      <wps:txbx>
                        <w:txbxContent>
                          <w:p>
                            <w:pPr>
                              <w:pStyle w:val="Corpsdetexte"/>
                              <w:bidi w:val="0"/>
                              <w:spacing w:lineRule="auto" w:line="300" w:before="0" w:after="140"/>
                              <w:jc w:val="left"/>
                              <w:rPr>
                                <w:b/>
                                <w:b/>
                                <w:bCs/>
                              </w:rPr>
                            </w:pPr>
                            <w:r>
                              <w:rPr>
                                <w:rFonts w:ascii="Arial" w:hAnsi="Arial"/>
                                <w:b/>
                                <w:bCs/>
                                <w:caps/>
                                <w:color w:val="000000"/>
                              </w:rPr>
                              <w:t>Mise en zone 30 du plateau d’Arruffens à Romont</w:t>
                            </w:r>
                          </w:p>
                        </w:txbxContent>
                      </wps:txbx>
                      <wps:bodyPr lIns="0" rIns="0" tIns="0" bIns="0">
                        <a:noAutofit/>
                      </wps:bodyPr>
                    </wps:wsp>
                  </a:graphicData>
                </a:graphic>
              </wp:anchor>
            </w:drawing>
          </mc:Choice>
          <mc:Fallback>
            <w:pict>
              <v:rect id="shape_0" ID="Cadre2" stroked="f" style="position:absolute;margin-left:0pt;margin-top:28.45pt;width:470.4pt;height:22.8pt">
                <w10:wrap type="square"/>
                <v:fill o:detectmouseclick="t" on="false"/>
                <v:stroke color="#3465a4" joinstyle="round" endcap="flat"/>
                <v:textbox>
                  <w:txbxContent>
                    <w:p>
                      <w:pPr>
                        <w:pStyle w:val="Corpsdetexte"/>
                        <w:bidi w:val="0"/>
                        <w:spacing w:lineRule="auto" w:line="300" w:before="0" w:after="140"/>
                        <w:jc w:val="left"/>
                        <w:rPr>
                          <w:b/>
                          <w:b/>
                          <w:bCs/>
                        </w:rPr>
                      </w:pPr>
                      <w:r>
                        <w:rPr>
                          <w:rFonts w:ascii="Arial" w:hAnsi="Arial"/>
                          <w:b/>
                          <w:bCs/>
                          <w:caps/>
                          <w:color w:val="000000"/>
                        </w:rPr>
                        <w:t>Mise en zone 30 du plateau d’Arruffens à Romont</w:t>
                      </w:r>
                    </w:p>
                  </w:txbxContent>
                </v:textbox>
              </v:rect>
            </w:pict>
          </mc:Fallback>
        </mc:AlternateContent>
      </w:r>
    </w:p>
    <w:p>
      <w:pPr>
        <w:pStyle w:val="Normal"/>
        <w:bidi w:val="0"/>
        <w:jc w:val="left"/>
        <w:rPr>
          <w:rFonts w:ascii="Arial" w:hAnsi="Arial"/>
          <w:color w:val="000000"/>
          <w:sz w:val="20"/>
          <w:szCs w:val="20"/>
        </w:rPr>
      </w:pPr>
      <w:r>
        <w:rPr>
          <w:rFonts w:ascii="Arial" w:hAnsi="Arial"/>
          <w:color w:val="000000"/>
          <w:sz w:val="20"/>
          <w:szCs w:val="20"/>
        </w:rPr>
      </w:r>
    </w:p>
    <w:p>
      <w:pPr>
        <w:pStyle w:val="Normal"/>
        <w:bidi w:val="0"/>
        <w:jc w:val="left"/>
        <w:rPr>
          <w:rFonts w:ascii="Arial" w:hAnsi="Arial"/>
          <w:color w:val="000000"/>
          <w:sz w:val="20"/>
          <w:szCs w:val="20"/>
        </w:rPr>
      </w:pPr>
      <w:r>
        <w:rPr>
          <w:rFonts w:ascii="Arial" w:hAnsi="Arial"/>
          <w:color w:val="000000"/>
          <w:sz w:val="20"/>
          <w:szCs w:val="20"/>
        </w:rPr>
      </w:r>
    </w:p>
    <w:p>
      <w:pPr>
        <w:pStyle w:val="Normal"/>
        <w:bidi w:val="0"/>
        <w:jc w:val="left"/>
        <w:rPr>
          <w:rFonts w:ascii="SanukOT-Regular" w:hAnsi="SanukOT-Regular"/>
          <w:color w:val="000000"/>
          <w:sz w:val="22"/>
          <w:szCs w:val="22"/>
        </w:rPr>
      </w:pPr>
      <w:r>
        <w:rPr>
          <w:rFonts w:ascii="SanukOT-Regular" w:hAnsi="SanukOT-Regular"/>
          <w:color w:val="000000"/>
          <w:sz w:val="22"/>
          <w:szCs w:val="22"/>
        </w:rPr>
      </w:r>
    </w:p>
    <w:p>
      <w:pPr>
        <w:pStyle w:val="Normal"/>
        <w:bidi w:val="0"/>
        <w:jc w:val="left"/>
        <w:rPr/>
      </w:pPr>
      <w:r>
        <w:rPr>
          <w:rFonts w:ascii="SanukOT-Regular" w:hAnsi="SanukOT-Regular"/>
          <w:b/>
          <w:bCs/>
          <w:color w:val="000000"/>
          <w:sz w:val="22"/>
          <w:szCs w:val="22"/>
        </w:rPr>
        <w:t>Le groupe Les Vert-e-s de Romont demande la mise en zone 30 km/h de l’ensemble du plateau d’Arruffens pour assurer la sécurité des enfants sur le chemin de la nouvelle école primaire. Il a déposé un postulat en ce sens lors du conseil général.</w:t>
      </w:r>
    </w:p>
    <w:p>
      <w:pPr>
        <w:pStyle w:val="Normal"/>
        <w:bidi w:val="0"/>
        <w:spacing w:before="227" w:after="0"/>
        <w:jc w:val="left"/>
        <w:rPr/>
      </w:pPr>
      <w:r>
        <w:rPr>
          <w:rFonts w:ascii="SanukOT-Regular" w:hAnsi="SanukOT-Regular"/>
          <w:color w:val="000000"/>
          <w:sz w:val="22"/>
          <w:szCs w:val="22"/>
        </w:rPr>
        <w:t>Malgré l’investissement de CHF 6’000’000 pour réaménager l’Esplanade d’Arruffens,  le trafic routier de transit continue de s’infiltrer ailleurs sur le vaste plateau d’Arruffens. Les Rue Pierre de Savoie, Rue de la Condémine et Route d’Arruffens sont particulièrement touchées. Le trafic routier de transit doit emprunter la route cantonale.</w:t>
      </w:r>
    </w:p>
    <w:p>
      <w:pPr>
        <w:pStyle w:val="Normal"/>
        <w:bidi w:val="0"/>
        <w:spacing w:before="227" w:after="0"/>
        <w:jc w:val="left"/>
        <w:rPr/>
      </w:pPr>
      <w:r>
        <w:rPr>
          <w:rFonts w:ascii="SanukOT-Regular" w:hAnsi="SanukOT-Regular"/>
          <w:color w:val="000000"/>
          <w:sz w:val="22"/>
          <w:szCs w:val="22"/>
        </w:rPr>
        <w:t>Ce quartier est à vocation principalement résidentielle avec un tissu industriel et commercial solidement présent le long de la rue de l’Industrie qui en marque la limite ouest. Le PAD Cadre Arruffens mis à l’enquête fin 2024 a pour mission d’accompagner le développement de ce secteur qui connaîtra une importante densification résidentielle avec des chantiers très conséquents qui s’étendront sur une quinzaine d’années.</w:t>
      </w:r>
    </w:p>
    <w:p>
      <w:pPr>
        <w:pStyle w:val="Normal"/>
        <w:bidi w:val="0"/>
        <w:spacing w:before="227" w:after="0"/>
        <w:jc w:val="left"/>
        <w:rPr/>
      </w:pPr>
      <w:r>
        <w:rPr>
          <w:rFonts w:ascii="SanukOT-Regular" w:hAnsi="SanukOT-Regular"/>
          <w:color w:val="000000"/>
          <w:sz w:val="22"/>
          <w:szCs w:val="22"/>
        </w:rPr>
        <w:t>Aujourd’hui déjà la sécurité des piétons et cyclistes est menacée par des véhicules automobiles qui traversent ce quartier à la vitesse autorisée de 50km/h (hormis la zone scolaire déjà à 30km/h). Le trafic est particulièrement important aux heures de pointe ce qui est nouveau dans ces rues.</w:t>
      </w:r>
    </w:p>
    <w:p>
      <w:pPr>
        <w:pStyle w:val="Normal"/>
        <w:bidi w:val="0"/>
        <w:spacing w:before="227" w:after="0"/>
        <w:jc w:val="left"/>
        <w:rPr/>
      </w:pPr>
      <w:r>
        <w:rPr>
          <w:rFonts w:ascii="SanukOT-Regular" w:hAnsi="SanukOT-Regular"/>
          <w:color w:val="000000"/>
          <w:sz w:val="22"/>
          <w:szCs w:val="22"/>
        </w:rPr>
        <w:t>Ce trafic routier parasite menace particulièrement les enfants des nombreuses familles qui vivent dans le quartier d’Arruffens. Il menace aussi les enfants qui se rendent du quartier voisin des Echervettes en cours de construction à l’école de la Condémine. Cette école accueille des enfants dès quatre ans. Elle conservera sa vocation d’accueil des enfants après l’ouverture de la nouvelle école En Bouley (EEB) puisqu’elle sera adaptée pour l’accueil extra-scolaire.</w:t>
      </w:r>
    </w:p>
    <w:p>
      <w:pPr>
        <w:pStyle w:val="Corpsdetexte"/>
        <w:bidi w:val="0"/>
        <w:spacing w:before="227" w:after="0"/>
        <w:jc w:val="left"/>
        <w:rPr>
          <w:rFonts w:ascii="SanukOT-Regular" w:hAnsi="SanukOT-Regular" w:eastAsia="Droid Sans Fallback" w:cs="FreeSans"/>
          <w:color w:val="000000"/>
          <w:kern w:val="2"/>
          <w:sz w:val="22"/>
          <w:szCs w:val="22"/>
          <w:lang w:val="fr-CH" w:eastAsia="zh-CN" w:bidi="hi-IN"/>
        </w:rPr>
      </w:pPr>
      <w:r>
        <w:rPr>
          <w:rFonts w:eastAsia="Droid Sans Fallback" w:cs="FreeSans" w:ascii="SanukOT-Regular" w:hAnsi="SanukOT-Regular"/>
          <w:color w:val="000000"/>
          <w:kern w:val="2"/>
          <w:sz w:val="22"/>
          <w:szCs w:val="22"/>
          <w:lang w:val="fr-CH" w:eastAsia="zh-CN" w:bidi="hi-IN"/>
        </w:rPr>
        <w:t>Afin d’avoir une vitesse homogène rassurante pour tous les usagers de la route dans l’ensemble du secteur, Les Vert-e-s de Romont demandent la mise en zone 30 km/h non seulement des rues Pierre-de-Savoie, Condémine et du reste de la Route d’Arruffens, mais d’y inclure également la Rue Paul Bondallaz, le Chemin des Biolettes et le Chemin des Écureuils.</w:t>
      </w:r>
      <w:r>
        <w:br w:type="page"/>
      </w:r>
    </w:p>
    <w:p>
      <w:pPr>
        <w:pStyle w:val="Corpsdetexte"/>
        <w:bidi w:val="0"/>
        <w:spacing w:before="227" w:after="0"/>
        <w:jc w:val="left"/>
        <w:rPr>
          <w:rFonts w:ascii="SanukOT-Regular" w:hAnsi="SanukOT-Regular" w:eastAsia="Droid Sans Fallback" w:cs="FreeSans"/>
          <w:color w:val="000000"/>
          <w:kern w:val="2"/>
          <w:sz w:val="22"/>
          <w:szCs w:val="22"/>
          <w:lang w:val="fr-CH" w:eastAsia="zh-CN" w:bidi="hi-IN"/>
        </w:rPr>
      </w:pPr>
      <w:r>
        <w:rPr>
          <w:rFonts w:eastAsia="Droid Sans Fallback" w:cs="FreeSans" w:ascii="SanukOT-Regular" w:hAnsi="SanukOT-Regular"/>
          <w:color w:val="000000"/>
          <w:kern w:val="2"/>
          <w:sz w:val="22"/>
          <w:szCs w:val="22"/>
          <w:lang w:val="fr-CH" w:eastAsia="zh-CN" w:bidi="hi-IN"/>
        </w:rPr>
      </w:r>
    </w:p>
    <w:p>
      <w:pPr>
        <w:pStyle w:val="Corpsdetexte"/>
        <w:bidi w:val="0"/>
        <w:spacing w:before="227" w:after="0"/>
        <w:jc w:val="left"/>
        <w:rPr>
          <w:rFonts w:ascii="SanukOT-Regular" w:hAnsi="SanukOT-Regular" w:eastAsia="Droid Sans Fallback" w:cs="FreeSans"/>
          <w:color w:val="000000"/>
          <w:kern w:val="2"/>
          <w:sz w:val="22"/>
          <w:szCs w:val="22"/>
          <w:lang w:val="fr-CH" w:eastAsia="zh-CN" w:bidi="hi-IN"/>
        </w:rPr>
      </w:pPr>
      <w:r>
        <w:rPr>
          <w:rFonts w:eastAsia="Droid Sans Fallback" w:cs="FreeSans" w:ascii="SanukOT-Regular" w:hAnsi="SanukOT-Regular"/>
          <w:color w:val="000000"/>
          <w:kern w:val="2"/>
          <w:sz w:val="22"/>
          <w:szCs w:val="22"/>
          <w:lang w:val="fr-CH" w:eastAsia="zh-CN" w:bidi="hi-IN"/>
        </w:rPr>
        <w:t>Le groupe Les Vert-e-s a bien entendu la réponse donnée en séance de conseil général à son postulat et prend note que l’exécutif partage son souci et que la mesure est inscrite dans le PAD cadre Arruffens.</w:t>
      </w:r>
    </w:p>
    <w:p>
      <w:pPr>
        <w:pStyle w:val="Corpsdetexte"/>
        <w:bidi w:val="0"/>
        <w:spacing w:before="227" w:after="0"/>
        <w:jc w:val="left"/>
        <w:rPr/>
      </w:pPr>
      <w:r>
        <w:rPr>
          <w:rFonts w:eastAsia="Droid Sans Fallback" w:cs="FreeSans" w:ascii="SanukOT-Regular" w:hAnsi="SanukOT-Regular"/>
          <w:color w:val="000000"/>
          <w:kern w:val="2"/>
          <w:sz w:val="22"/>
          <w:szCs w:val="22"/>
          <w:lang w:val="fr-CH" w:eastAsia="zh-CN" w:bidi="hi-IN"/>
        </w:rPr>
        <w:t xml:space="preserve">En proposant cette mesure, le groupe Les Vert-e-s de Romont souhaite inciter le conseil communal à étudier sans délai une solution globale mettant fin à la confusion qui règne depuis la suppression sans avertissement </w:t>
      </w:r>
      <w:r>
        <w:rPr>
          <w:rFonts w:eastAsia="Droid Sans Fallback" w:cs="FreeSans" w:ascii="SanukOT-Regular" w:hAnsi="SanukOT-Regular"/>
          <w:color w:val="000000"/>
          <w:kern w:val="2"/>
          <w:sz w:val="22"/>
          <w:szCs w:val="22"/>
          <w:lang w:val="fr-CH" w:eastAsia="zh-CN" w:bidi="hi-IN"/>
        </w:rPr>
        <w:t xml:space="preserve">ni mise à l’enquête </w:t>
      </w:r>
      <w:r>
        <w:rPr>
          <w:rFonts w:eastAsia="Droid Sans Fallback" w:cs="FreeSans" w:ascii="SanukOT-Regular" w:hAnsi="SanukOT-Regular"/>
          <w:color w:val="000000"/>
          <w:kern w:val="2"/>
          <w:sz w:val="22"/>
          <w:szCs w:val="22"/>
          <w:lang w:val="fr-CH" w:eastAsia="zh-CN" w:bidi="hi-IN"/>
        </w:rPr>
        <w:t>des panneaux de restriction d’heures d’accès au nouvel aménagement de l’Esplanade d’Arruffens.</w:t>
      </w:r>
    </w:p>
    <w:p>
      <w:pPr>
        <w:pStyle w:val="Corpsdetexte"/>
        <w:bidi w:val="0"/>
        <w:spacing w:before="227" w:after="0"/>
        <w:jc w:val="left"/>
        <w:rPr>
          <w:rFonts w:ascii="SanukOT-Regular" w:hAnsi="SanukOT-Regular"/>
          <w:color w:val="000000"/>
          <w:sz w:val="22"/>
          <w:szCs w:val="22"/>
        </w:rPr>
      </w:pPr>
      <w:r>
        <w:rPr>
          <w:rFonts w:ascii="SanukOT-Regular" w:hAnsi="SanukOT-Regular"/>
          <w:color w:val="000000"/>
          <w:sz w:val="22"/>
          <w:szCs w:val="22"/>
        </w:rPr>
      </w:r>
    </w:p>
    <w:p>
      <w:pPr>
        <w:pStyle w:val="Normal"/>
        <w:bidi w:val="0"/>
        <w:spacing w:before="227" w:after="0"/>
        <w:jc w:val="left"/>
        <w:rPr>
          <w:rFonts w:ascii="SanukOT-Regular" w:hAnsi="SanukOT-Regular"/>
          <w:color w:val="000000"/>
          <w:sz w:val="22"/>
          <w:szCs w:val="22"/>
        </w:rPr>
      </w:pPr>
      <w:r>
        <w:rPr>
          <w:rFonts w:ascii="SanukOT-Regular" w:hAnsi="SanukOT-Regular"/>
          <w:color w:val="000000"/>
          <w:sz w:val="22"/>
          <w:szCs w:val="22"/>
        </w:rPr>
      </w:r>
    </w:p>
    <w:p>
      <w:pPr>
        <w:pStyle w:val="Normal"/>
        <w:bidi w:val="0"/>
        <w:spacing w:before="227" w:after="0"/>
        <w:jc w:val="left"/>
        <w:rPr>
          <w:rFonts w:ascii="SanukOT-Regular" w:hAnsi="SanukOT-Regular"/>
          <w:color w:val="000000"/>
          <w:sz w:val="22"/>
          <w:szCs w:val="22"/>
        </w:rPr>
      </w:pPr>
      <w:r>
        <w:rPr>
          <w:rFonts w:ascii="SanukOT-Regular" w:hAnsi="SanukOT-Regular"/>
          <w:color w:val="000000"/>
          <w:sz w:val="22"/>
          <w:szCs w:val="22"/>
        </w:rPr>
      </w:r>
    </w:p>
    <w:p>
      <w:pPr>
        <w:pStyle w:val="Normal"/>
        <w:bidi w:val="0"/>
        <w:spacing w:before="227" w:after="0"/>
        <w:jc w:val="left"/>
        <w:rPr>
          <w:rFonts w:ascii="SanukOT-Regular" w:hAnsi="SanukOT-Regular"/>
          <w:color w:val="000000"/>
          <w:sz w:val="22"/>
          <w:szCs w:val="22"/>
        </w:rPr>
      </w:pPr>
      <w:r>
        <w:rPr>
          <w:rFonts w:ascii="SanukOT-Regular" w:hAnsi="SanukOT-Regular"/>
          <w:b/>
          <w:bCs/>
          <w:color w:val="000000"/>
          <w:sz w:val="22"/>
          <w:szCs w:val="22"/>
        </w:rPr>
        <w:t>Annexe :</w:t>
      </w:r>
      <w:r>
        <w:rPr>
          <w:rFonts w:ascii="SanukOT-Regular" w:hAnsi="SanukOT-Regular"/>
          <w:color w:val="000000"/>
          <w:sz w:val="22"/>
          <w:szCs w:val="22"/>
        </w:rPr>
        <w:t xml:space="preserve"> plan de situation (source openstreetmap)</w:t>
      </w:r>
    </w:p>
    <w:p>
      <w:pPr>
        <w:pStyle w:val="Normal"/>
        <w:bidi w:val="0"/>
        <w:spacing w:before="227" w:after="0"/>
        <w:jc w:val="left"/>
        <w:rPr>
          <w:rFonts w:ascii="SanukOT-Regular" w:hAnsi="SanukOT-Regular"/>
          <w:color w:val="000000"/>
          <w:sz w:val="22"/>
          <w:szCs w:val="22"/>
        </w:rPr>
      </w:pPr>
      <w:r>
        <w:rPr>
          <w:rFonts w:ascii="SanukOT-Regular" w:hAnsi="SanukOT-Regular"/>
          <w:color w:val="000000"/>
          <w:sz w:val="22"/>
          <w:szCs w:val="22"/>
        </w:rPr>
      </w:r>
    </w:p>
    <w:p>
      <w:pPr>
        <w:pStyle w:val="Normal"/>
        <w:bidi w:val="0"/>
        <w:spacing w:before="227" w:after="0"/>
        <w:jc w:val="left"/>
        <w:rPr>
          <w:rFonts w:ascii="SanukOT-Regular" w:hAnsi="SanukOT-Regular"/>
          <w:color w:val="000000"/>
          <w:sz w:val="22"/>
          <w:szCs w:val="22"/>
        </w:rPr>
      </w:pPr>
      <w:r>
        <w:rPr>
          <w:rFonts w:ascii="SanukOT-Regular" w:hAnsi="SanukOT-Regular"/>
          <w:color w:val="000000"/>
          <w:sz w:val="22"/>
          <w:szCs w:val="22"/>
        </w:rPr>
      </w:r>
    </w:p>
    <w:p>
      <w:pPr>
        <w:pStyle w:val="Normal"/>
        <w:bidi w:val="0"/>
        <w:jc w:val="left"/>
        <w:rPr>
          <w:rFonts w:ascii="SanukOT-Regular" w:hAnsi="SanukOT-Regular"/>
          <w:sz w:val="22"/>
          <w:szCs w:val="22"/>
        </w:rPr>
      </w:pPr>
      <w:r>
        <w:rPr>
          <w:rFonts w:ascii="SanukOT-Regular" w:hAnsi="SanukOT-Regular"/>
          <w:sz w:val="22"/>
          <w:szCs w:val="22"/>
        </w:rPr>
      </w:r>
    </w:p>
    <w:p>
      <w:pPr>
        <w:pStyle w:val="Normal"/>
        <w:bidi w:val="0"/>
        <w:jc w:val="left"/>
        <w:rPr>
          <w:rFonts w:ascii="SanukOT-Regular" w:hAnsi="SanukOT-Regular"/>
          <w:b/>
          <w:b/>
          <w:bCs/>
          <w:sz w:val="22"/>
          <w:szCs w:val="22"/>
        </w:rPr>
      </w:pPr>
      <w:r>
        <w:rPr>
          <w:rFonts w:ascii="SanukOT-Regular" w:hAnsi="SanukOT-Regular"/>
          <w:b/>
          <w:bCs/>
          <w:sz w:val="22"/>
          <w:szCs w:val="22"/>
        </w:rPr>
        <w:t>Renseignements :</w:t>
      </w:r>
    </w:p>
    <w:p>
      <w:pPr>
        <w:pStyle w:val="Normal"/>
        <w:bidi w:val="0"/>
        <w:jc w:val="left"/>
        <w:rPr>
          <w:rFonts w:ascii="SanukOT-Regular" w:hAnsi="SanukOT-Regular"/>
          <w:sz w:val="22"/>
          <w:szCs w:val="22"/>
        </w:rPr>
      </w:pPr>
      <w:r>
        <w:rPr>
          <w:rFonts w:ascii="SanukOT-Regular" w:hAnsi="SanukOT-Regular"/>
          <w:sz w:val="22"/>
          <w:szCs w:val="22"/>
        </w:rPr>
      </w:r>
    </w:p>
    <w:p>
      <w:pPr>
        <w:pStyle w:val="Normal"/>
        <w:bidi w:val="0"/>
        <w:jc w:val="left"/>
        <w:rPr>
          <w:rFonts w:ascii="SanukOT-Regular" w:hAnsi="SanukOT-Regular"/>
          <w:sz w:val="22"/>
          <w:szCs w:val="22"/>
        </w:rPr>
      </w:pPr>
      <w:r>
        <w:rPr>
          <w:rFonts w:ascii="SanukOT-Regular" w:hAnsi="SanukOT-Regular"/>
          <w:sz w:val="22"/>
          <w:szCs w:val="22"/>
        </w:rPr>
        <w:t>Luc Bardet, conseiller général, membre de la commission de l’énergie et de la commission d’aménagement, tél. +41 79 449 91 21, luc.bardet@verts-fr.ch</w:t>
      </w:r>
    </w:p>
    <w:p>
      <w:pPr>
        <w:pStyle w:val="Normal"/>
        <w:bidi w:val="0"/>
        <w:jc w:val="left"/>
        <w:rPr>
          <w:rFonts w:ascii="SanukOT-Regular" w:hAnsi="SanukOT-Regular"/>
          <w:b w:val="false"/>
          <w:b w:val="false"/>
          <w:bCs w:val="false"/>
          <w:color w:val="000000"/>
          <w:sz w:val="22"/>
          <w:szCs w:val="22"/>
        </w:rPr>
      </w:pPr>
      <w:r>
        <w:rPr/>
      </w:r>
    </w:p>
    <w:sectPr>
      <w:footerReference w:type="default" r:id="rId3"/>
      <w:type w:val="nextPage"/>
      <w:pgSz w:w="12240" w:h="15840"/>
      <w:pgMar w:left="1701" w:right="1134" w:header="0" w:top="1134" w:footer="680" w:bottom="145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anukOT-Bold">
    <w:charset w:val="01"/>
    <w:family w:val="roman"/>
    <w:pitch w:val="variable"/>
  </w:font>
  <w:font w:name="Arial">
    <w:charset w:val="01"/>
    <w:family w:val="roman"/>
    <w:pitch w:val="variable"/>
  </w:font>
  <w:font w:name="SanukOT-Regular">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bidi w:val="0"/>
      <w:jc w:val="left"/>
      <w:rPr/>
    </w:pPr>
    <w:r>
      <w:rPr>
        <w:rStyle w:val="Accentuationforte"/>
        <w:rFonts w:ascii="SanukOT-Bold" w:hAnsi="SanukOT-Bold"/>
        <w:bCs w:val="false"/>
        <w:caps/>
        <w:color w:val="84B414"/>
        <w:sz w:val="21"/>
      </w:rPr>
      <w:t>Les VERT·E·S GLÂNE-VEVEYSE</w:t>
    </w:r>
  </w:p>
  <w:p>
    <w:pPr>
      <w:pStyle w:val="Pieddepage"/>
      <w:bidi w:val="0"/>
      <w:jc w:val="left"/>
      <w:rPr>
        <w:rFonts w:ascii="SanukOT-Regular" w:hAnsi="SanukOT-Regular"/>
        <w:caps/>
        <w:color w:val="000000"/>
        <w:sz w:val="21"/>
      </w:rPr>
    </w:pPr>
    <w:r>
      <w:rPr>
        <w:rFonts w:ascii="SanukOT-Regular" w:hAnsi="SanukOT-Regular"/>
        <w:caps/>
        <w:color w:val="000000"/>
        <w:sz w:val="21"/>
      </w:rPr>
      <w:t>c/o DAPHNE ROULIN – LE CRIBLET 56 – 1748 TORNY-LE-GRAND</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tabs>
          <w:tab w:val="num" w:pos="0"/>
        </w:tabs>
        <w:ind w:left="432" w:hanging="432"/>
      </w:pPr>
    </w:lvl>
    <w:lvl w:ilvl="1">
      <w:start w:val="1"/>
      <w:pStyle w:val="Titre2"/>
      <w:numFmt w:val="none"/>
      <w:suff w:val="nothing"/>
      <w:lvlText w:val=""/>
      <w:lvlJc w:val="left"/>
      <w:pPr>
        <w:tabs>
          <w:tab w:val="num" w:pos="0"/>
        </w:tabs>
        <w:ind w:left="576" w:hanging="576"/>
      </w:pPr>
    </w:lvl>
    <w:lvl w:ilvl="2">
      <w:start w:val="1"/>
      <w:pStyle w:val="Titre3"/>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75"/>
  <w:revisionView w:insDel="0" w:formatting="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0"/>
        <w:szCs w:val="24"/>
        <w:lang w:val="fr-CH"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 w:hAnsi="Liberation Serif" w:eastAsia="Droid Sans Fallback" w:cs="FreeSans"/>
      <w:color w:val="auto"/>
      <w:kern w:val="2"/>
      <w:sz w:val="24"/>
      <w:szCs w:val="24"/>
      <w:lang w:val="fr-CH" w:eastAsia="zh-CN" w:bidi="hi-IN"/>
    </w:rPr>
  </w:style>
  <w:style w:type="paragraph" w:styleId="Titre1">
    <w:name w:val="Heading 1"/>
    <w:basedOn w:val="Titre"/>
    <w:next w:val="Corpsdetexte"/>
    <w:qFormat/>
    <w:pPr>
      <w:numPr>
        <w:ilvl w:val="0"/>
        <w:numId w:val="1"/>
      </w:numPr>
      <w:spacing w:before="240" w:after="120"/>
      <w:outlineLvl w:val="0"/>
    </w:pPr>
    <w:rPr>
      <w:b/>
      <w:bCs/>
      <w:sz w:val="36"/>
      <w:szCs w:val="36"/>
    </w:rPr>
  </w:style>
  <w:style w:type="paragraph" w:styleId="Titre2">
    <w:name w:val="Heading 2"/>
    <w:basedOn w:val="Titre"/>
    <w:next w:val="Corpsdetexte"/>
    <w:qFormat/>
    <w:pPr>
      <w:numPr>
        <w:ilvl w:val="1"/>
        <w:numId w:val="1"/>
      </w:numPr>
      <w:spacing w:before="200" w:after="120"/>
      <w:outlineLvl w:val="1"/>
    </w:pPr>
    <w:rPr>
      <w:b/>
      <w:bCs/>
      <w:sz w:val="32"/>
      <w:szCs w:val="32"/>
    </w:rPr>
  </w:style>
  <w:style w:type="paragraph" w:styleId="Titre3">
    <w:name w:val="Heading 3"/>
    <w:basedOn w:val="Titre"/>
    <w:next w:val="Corpsdetexte"/>
    <w:qFormat/>
    <w:pPr>
      <w:numPr>
        <w:ilvl w:val="2"/>
        <w:numId w:val="1"/>
      </w:numPr>
      <w:spacing w:before="140" w:after="120"/>
      <w:outlineLvl w:val="2"/>
    </w:pPr>
    <w:rPr>
      <w:b/>
      <w:bCs/>
      <w:color w:val="808080"/>
      <w:sz w:val="28"/>
      <w:szCs w:val="28"/>
    </w:rPr>
  </w:style>
  <w:style w:type="character" w:styleId="Accentuationforte">
    <w:name w:val="Accentuation forte"/>
    <w:qFormat/>
    <w:rPr>
      <w:b/>
      <w:bCs/>
    </w:rPr>
  </w:style>
  <w:style w:type="character" w:styleId="Caractresdenumrotation">
    <w:name w:val="Caractères de numérotation"/>
    <w:qFormat/>
    <w:rPr/>
  </w:style>
  <w:style w:type="character" w:styleId="LienInternet">
    <w:name w:val="Lien Internet"/>
    <w:rPr>
      <w:color w:val="000080"/>
      <w:u w:val="single"/>
      <w:lang w:val="zxx" w:eastAsia="zxx" w:bidi="zxx"/>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Droid Sans Fallback"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Destinataire">
    <w:name w:val="Envelope Address"/>
    <w:basedOn w:val="Normal"/>
    <w:pPr>
      <w:spacing w:before="720" w:after="720"/>
      <w:ind w:left="4536" w:right="0" w:hanging="0"/>
    </w:pPr>
    <w:rPr/>
  </w:style>
  <w:style w:type="paragraph" w:styleId="Contenudecadre">
    <w:name w:val="Contenu de cadre"/>
    <w:basedOn w:val="Corpsdetexte"/>
    <w:qFormat/>
    <w:pPr/>
    <w:rPr/>
  </w:style>
  <w:style w:type="paragraph" w:styleId="Citations">
    <w:name w:val="Citations"/>
    <w:basedOn w:val="Normal"/>
    <w:qFormat/>
    <w:pPr>
      <w:spacing w:before="0" w:after="283"/>
      <w:ind w:left="567" w:right="567" w:hanging="0"/>
    </w:pPr>
    <w:rPr/>
  </w:style>
  <w:style w:type="paragraph" w:styleId="Titreprincipal">
    <w:name w:val="Title"/>
    <w:basedOn w:val="Titre"/>
    <w:next w:val="Corpsdetexte"/>
    <w:qFormat/>
    <w:pPr>
      <w:jc w:val="center"/>
    </w:pPr>
    <w:rPr>
      <w:b/>
      <w:bCs/>
      <w:sz w:val="56"/>
      <w:szCs w:val="56"/>
    </w:rPr>
  </w:style>
  <w:style w:type="paragraph" w:styleId="Soustitre">
    <w:name w:val="Subtitle"/>
    <w:basedOn w:val="Titre"/>
    <w:next w:val="Corpsdetexte"/>
    <w:qFormat/>
    <w:pPr>
      <w:spacing w:before="60" w:after="120"/>
      <w:jc w:val="center"/>
    </w:pPr>
    <w:rPr>
      <w:sz w:val="36"/>
      <w:szCs w:val="36"/>
    </w:rPr>
  </w:style>
  <w:style w:type="paragraph" w:styleId="Entteetpieddepage">
    <w:name w:val="En-tête et pied de page"/>
    <w:basedOn w:val="Normal"/>
    <w:qFormat/>
    <w:pPr>
      <w:suppressLineNumbers/>
      <w:tabs>
        <w:tab w:val="clear" w:pos="720"/>
        <w:tab w:val="center" w:pos="4986" w:leader="none"/>
        <w:tab w:val="right" w:pos="9972" w:leader="none"/>
      </w:tabs>
    </w:pPr>
    <w:rPr/>
  </w:style>
  <w:style w:type="paragraph" w:styleId="Pieddepage">
    <w:name w:val="Footer"/>
    <w:basedOn w:val="Normal"/>
    <w:pPr>
      <w:suppressLineNumbers/>
      <w:tabs>
        <w:tab w:val="clear" w:pos="720"/>
        <w:tab w:val="center" w:pos="4702" w:leader="none"/>
        <w:tab w:val="right" w:pos="9405" w:leader="none"/>
      </w:tabs>
    </w:pPr>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540</TotalTime>
  <Application>LibreOffice/6.4.7.2$Linux_X86_64 LibreOffice_project/40$Build-2</Application>
  <Pages>2</Pages>
  <Words>473</Words>
  <Characters>2572</Characters>
  <CharactersWithSpaces>3032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2025-02-12T13:16:21Z</dcterms:created>
  <dc:creator/>
  <dc:description/>
  <dc:language>fr-CH</dc:language>
  <cp:lastModifiedBy/>
  <dcterms:modified xsi:type="dcterms:W3CDTF">2025-02-14T14:23:54Z</dcterms:modified>
  <cp:revision>11</cp:revision>
  <dc:subject/>
  <dc:title/>
</cp:coreProperties>
</file>